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A0EB2" w14:textId="77777777" w:rsidR="006B5F68" w:rsidRDefault="006B5F68" w:rsidP="005120A7">
      <w:pPr>
        <w:jc w:val="center"/>
      </w:pPr>
      <w:bookmarkStart w:id="0" w:name="_GoBack"/>
      <w:bookmarkEnd w:id="0"/>
    </w:p>
    <w:p w14:paraId="4BA2C962" w14:textId="77777777" w:rsidR="005120A7" w:rsidRDefault="005120A7" w:rsidP="005120A7">
      <w:pPr>
        <w:jc w:val="center"/>
      </w:pPr>
    </w:p>
    <w:p w14:paraId="3F14A538" w14:textId="45D0D6BA" w:rsidR="005120A7" w:rsidRDefault="00C97802" w:rsidP="005120A7">
      <w:pPr>
        <w:jc w:val="center"/>
      </w:pPr>
      <w:r>
        <w:t xml:space="preserve">May </w:t>
      </w:r>
      <w:r w:rsidR="00114F97">
        <w:t>23</w:t>
      </w:r>
      <w:r w:rsidR="005120A7">
        <w:t>, 2018</w:t>
      </w:r>
    </w:p>
    <w:p w14:paraId="16132F69" w14:textId="77777777" w:rsidR="005120A7" w:rsidRDefault="005120A7" w:rsidP="005120A7">
      <w:pPr>
        <w:spacing w:after="0" w:line="240" w:lineRule="auto"/>
        <w:jc w:val="center"/>
      </w:pPr>
    </w:p>
    <w:p w14:paraId="059E6CB6" w14:textId="77777777" w:rsidR="00C97802" w:rsidRPr="0066455C" w:rsidRDefault="00C97802" w:rsidP="00C97802">
      <w:pPr>
        <w:spacing w:after="0" w:line="240" w:lineRule="auto"/>
      </w:pPr>
      <w:r w:rsidRPr="0066455C">
        <w:t>The Honorable Orrin G. Hatch</w:t>
      </w:r>
      <w:r w:rsidRPr="0066455C">
        <w:tab/>
      </w:r>
      <w:r w:rsidRPr="0066455C">
        <w:tab/>
      </w:r>
      <w:r w:rsidRPr="0066455C">
        <w:tab/>
      </w:r>
      <w:r w:rsidRPr="0066455C">
        <w:tab/>
      </w:r>
      <w:r>
        <w:tab/>
      </w:r>
      <w:proofErr w:type="gramStart"/>
      <w:r w:rsidRPr="0066455C">
        <w:t>The</w:t>
      </w:r>
      <w:proofErr w:type="gramEnd"/>
      <w:r w:rsidRPr="0066455C">
        <w:t xml:space="preserve"> Honorable Ron Wyden</w:t>
      </w:r>
      <w:r w:rsidRPr="0066455C">
        <w:tab/>
      </w:r>
    </w:p>
    <w:p w14:paraId="29BD2E1A" w14:textId="77777777" w:rsidR="00C97802" w:rsidRPr="0066455C" w:rsidRDefault="00C97802" w:rsidP="00C97802">
      <w:pPr>
        <w:spacing w:after="0" w:line="240" w:lineRule="auto"/>
      </w:pPr>
      <w:r w:rsidRPr="0066455C">
        <w:t>Chair</w:t>
      </w:r>
      <w:r>
        <w:t>man</w:t>
      </w:r>
      <w:r w:rsidRPr="0066455C">
        <w:tab/>
      </w:r>
      <w:r w:rsidRPr="0066455C">
        <w:tab/>
      </w:r>
      <w:r w:rsidRPr="0066455C">
        <w:tab/>
      </w:r>
      <w:r w:rsidRPr="0066455C">
        <w:tab/>
      </w:r>
      <w:r w:rsidRPr="0066455C">
        <w:tab/>
      </w:r>
      <w:r w:rsidRPr="0066455C">
        <w:tab/>
      </w:r>
      <w:r w:rsidRPr="0066455C">
        <w:tab/>
        <w:t>Ranking Member</w:t>
      </w:r>
      <w:r w:rsidRPr="0066455C">
        <w:tab/>
      </w:r>
    </w:p>
    <w:p w14:paraId="599E66D2" w14:textId="77777777" w:rsidR="00C97802" w:rsidRPr="0066455C" w:rsidRDefault="00C97802" w:rsidP="00C97802">
      <w:pPr>
        <w:spacing w:after="0" w:line="240" w:lineRule="auto"/>
      </w:pPr>
      <w:r w:rsidRPr="0066455C">
        <w:t>Senate Finance Committee</w:t>
      </w:r>
      <w:r w:rsidRPr="0066455C">
        <w:tab/>
      </w:r>
      <w:r w:rsidRPr="0066455C">
        <w:tab/>
      </w:r>
      <w:r w:rsidRPr="0066455C">
        <w:tab/>
      </w:r>
      <w:r w:rsidRPr="0066455C">
        <w:tab/>
      </w:r>
      <w:r>
        <w:tab/>
      </w:r>
      <w:r w:rsidRPr="0066455C">
        <w:t>Senate Finance Committee</w:t>
      </w:r>
    </w:p>
    <w:p w14:paraId="2CDB7C27" w14:textId="77777777" w:rsidR="00C97802" w:rsidRPr="0066455C" w:rsidRDefault="00C97802" w:rsidP="00C97802">
      <w:pPr>
        <w:spacing w:after="0" w:line="240" w:lineRule="auto"/>
      </w:pPr>
      <w:r>
        <w:t>United States</w:t>
      </w:r>
      <w:r w:rsidRPr="0066455C">
        <w:t xml:space="preserve"> Senate</w:t>
      </w:r>
      <w:r w:rsidRPr="0066455C">
        <w:tab/>
      </w:r>
      <w:r w:rsidRPr="0066455C">
        <w:tab/>
      </w:r>
      <w:r w:rsidRPr="0066455C">
        <w:tab/>
      </w:r>
      <w:r w:rsidRPr="0066455C">
        <w:tab/>
      </w:r>
      <w:r w:rsidRPr="0066455C">
        <w:tab/>
      </w:r>
      <w:r w:rsidRPr="0066455C">
        <w:tab/>
      </w:r>
      <w:r>
        <w:t>United States</w:t>
      </w:r>
      <w:r w:rsidRPr="0066455C">
        <w:t xml:space="preserve"> Senate</w:t>
      </w:r>
    </w:p>
    <w:p w14:paraId="7B36B34A" w14:textId="77777777" w:rsidR="00C97802" w:rsidRDefault="00C97802" w:rsidP="00C97802">
      <w:pPr>
        <w:spacing w:after="0" w:line="240" w:lineRule="auto"/>
        <w:ind w:right="-360"/>
      </w:pPr>
      <w:r w:rsidRPr="0066455C">
        <w:t>219 Dirksen Senate Office Building</w:t>
      </w:r>
      <w:r w:rsidRPr="0066455C">
        <w:tab/>
      </w:r>
      <w:r w:rsidRPr="0066455C">
        <w:tab/>
      </w:r>
      <w:r w:rsidRPr="0066455C">
        <w:tab/>
      </w:r>
      <w:r>
        <w:tab/>
      </w:r>
      <w:r w:rsidRPr="0066455C">
        <w:t xml:space="preserve">219 Dirksen </w:t>
      </w:r>
      <w:r>
        <w:t>Senate Office Building</w:t>
      </w:r>
    </w:p>
    <w:p w14:paraId="7C8916E3" w14:textId="77777777" w:rsidR="00C97802" w:rsidRDefault="00C97802" w:rsidP="00C97802">
      <w:pPr>
        <w:spacing w:after="0" w:line="240" w:lineRule="auto"/>
        <w:ind w:right="-360"/>
      </w:pPr>
      <w:r w:rsidRPr="0066455C">
        <w:t>Washington, DC 20510</w:t>
      </w:r>
      <w:r w:rsidRPr="0066455C">
        <w:tab/>
      </w:r>
      <w:r w:rsidRPr="0066455C">
        <w:tab/>
      </w:r>
      <w:r w:rsidRPr="0066455C">
        <w:tab/>
      </w:r>
      <w:r w:rsidRPr="0066455C">
        <w:tab/>
      </w:r>
      <w:r w:rsidRPr="0066455C">
        <w:tab/>
      </w:r>
      <w:r>
        <w:tab/>
      </w:r>
      <w:r w:rsidRPr="0066455C">
        <w:t>Washington, DC 20510</w:t>
      </w:r>
      <w:r w:rsidRPr="0066455C">
        <w:tab/>
      </w:r>
    </w:p>
    <w:p w14:paraId="52B2144C" w14:textId="77777777" w:rsidR="005120A7" w:rsidRDefault="005120A7" w:rsidP="005120A7">
      <w:pPr>
        <w:spacing w:after="0" w:line="240" w:lineRule="auto"/>
      </w:pPr>
    </w:p>
    <w:p w14:paraId="14C19409" w14:textId="6E65908C" w:rsidR="005120A7" w:rsidRDefault="005120A7" w:rsidP="005120A7">
      <w:pPr>
        <w:spacing w:after="0" w:line="240" w:lineRule="auto"/>
      </w:pPr>
      <w:r>
        <w:t xml:space="preserve">Dear Chairman </w:t>
      </w:r>
      <w:r w:rsidR="004C3ED7">
        <w:t>Hatch and Senator Wyden</w:t>
      </w:r>
      <w:r>
        <w:t>:</w:t>
      </w:r>
    </w:p>
    <w:p w14:paraId="6158CA60" w14:textId="77777777" w:rsidR="005120A7" w:rsidRDefault="005120A7" w:rsidP="005120A7">
      <w:pPr>
        <w:spacing w:after="0" w:line="240" w:lineRule="auto"/>
      </w:pPr>
    </w:p>
    <w:p w14:paraId="2658AC0E" w14:textId="466C5E6D" w:rsidR="005120A7" w:rsidRDefault="005120A7" w:rsidP="00282485">
      <w:r>
        <w:t xml:space="preserve">We applaud </w:t>
      </w:r>
      <w:r w:rsidRPr="00282485">
        <w:t xml:space="preserve">your efforts to address the opioid crisis and </w:t>
      </w:r>
      <w:r w:rsidR="008B4F1C" w:rsidRPr="00282485">
        <w:t>thank you for taking legislative action. To that end, we are</w:t>
      </w:r>
      <w:r w:rsidR="008B4F1C" w:rsidRPr="00753D57">
        <w:t xml:space="preserve"> writing to </w:t>
      </w:r>
      <w:r w:rsidRPr="00753D57">
        <w:t xml:space="preserve">urge </w:t>
      </w:r>
      <w:r w:rsidR="00365734">
        <w:t>you to include the</w:t>
      </w:r>
      <w:r w:rsidR="00753D57" w:rsidRPr="00753D57">
        <w:t xml:space="preserve"> Expanding Telehealth Response to Ensure Addiction Treatment Act (</w:t>
      </w:r>
      <w:proofErr w:type="spellStart"/>
      <w:r w:rsidR="00753D57" w:rsidRPr="00753D57">
        <w:t>eTREAT</w:t>
      </w:r>
      <w:proofErr w:type="spellEnd"/>
      <w:r w:rsidR="00753D57" w:rsidRPr="00753D57">
        <w:t xml:space="preserve">) introduced by Senators Thune, Warner, Cardin, </w:t>
      </w:r>
      <w:proofErr w:type="spellStart"/>
      <w:r w:rsidR="00753D57" w:rsidRPr="00753D57">
        <w:t>Cornyn</w:t>
      </w:r>
      <w:proofErr w:type="spellEnd"/>
      <w:r w:rsidR="00753D57" w:rsidRPr="00753D57">
        <w:t>, Schatz and Wicker</w:t>
      </w:r>
      <w:r w:rsidR="00282485" w:rsidRPr="00753D57">
        <w:t>.</w:t>
      </w:r>
      <w:r>
        <w:t xml:space="preserve"> This </w:t>
      </w:r>
      <w:r w:rsidR="00282485">
        <w:t>language</w:t>
      </w:r>
      <w:r>
        <w:t xml:space="preserve"> will address unmet </w:t>
      </w:r>
      <w:r w:rsidR="002C5CBF">
        <w:t>treatment</w:t>
      </w:r>
      <w:r>
        <w:t xml:space="preserve"> needs </w:t>
      </w:r>
      <w:r w:rsidR="002C5CBF">
        <w:t>of</w:t>
      </w:r>
      <w:r>
        <w:t xml:space="preserve"> </w:t>
      </w:r>
      <w:r w:rsidR="00F76601">
        <w:t>Medicare beneficiaries</w:t>
      </w:r>
      <w:r>
        <w:t xml:space="preserve"> </w:t>
      </w:r>
      <w:r w:rsidR="00753D57">
        <w:t>with substance abuse disorder</w:t>
      </w:r>
      <w:r>
        <w:t xml:space="preserve"> </w:t>
      </w:r>
      <w:r w:rsidR="008B4F1C">
        <w:t>by expanding access to care through telemedicine.</w:t>
      </w:r>
    </w:p>
    <w:p w14:paraId="0914E619" w14:textId="77777777" w:rsidR="00F76601" w:rsidRPr="00F76601" w:rsidRDefault="00F76601" w:rsidP="00E66DB0">
      <w:pPr>
        <w:spacing w:after="0" w:line="240" w:lineRule="auto"/>
        <w:jc w:val="both"/>
      </w:pPr>
      <w:r>
        <w:t>As with the overall U.S. population, opioid addiction is rising among seniors</w:t>
      </w:r>
      <w:r w:rsidRPr="00F76601">
        <w:t>. Opioid misuse among adults</w:t>
      </w:r>
      <w:r>
        <w:t xml:space="preserve"> </w:t>
      </w:r>
      <w:r w:rsidRPr="00F76601">
        <w:t>aged 50 and older in 2014 was higher than all years between 2002 and 2011</w:t>
      </w:r>
      <w:r>
        <w:rPr>
          <w:rStyle w:val="FootnoteReference"/>
        </w:rPr>
        <w:footnoteReference w:id="1"/>
      </w:r>
      <w:r w:rsidRPr="00F76601">
        <w:t xml:space="preserve">, and a 2017 analysis of Medicare Part D data by the </w:t>
      </w:r>
      <w:r w:rsidR="00DD1A1F">
        <w:t xml:space="preserve">HHS </w:t>
      </w:r>
      <w:r w:rsidRPr="00F76601">
        <w:t>Office of the Inspector General revealed that more than 500,000 Medicare Part D</w:t>
      </w:r>
      <w:r>
        <w:t xml:space="preserve"> </w:t>
      </w:r>
      <w:r w:rsidRPr="00F76601">
        <w:t>beneficiaries received high amounts of opioids in 2016, with the average dose far exceeding the manufacturer’s recommended amount.</w:t>
      </w:r>
      <w:r>
        <w:rPr>
          <w:rStyle w:val="FootnoteReference"/>
        </w:rPr>
        <w:footnoteReference w:id="2"/>
      </w:r>
    </w:p>
    <w:p w14:paraId="01CC1145" w14:textId="77777777" w:rsidR="00F76601" w:rsidRPr="008B4F1C" w:rsidRDefault="00F76601" w:rsidP="00E66DB0">
      <w:pPr>
        <w:spacing w:after="0" w:line="240" w:lineRule="auto"/>
        <w:jc w:val="both"/>
      </w:pPr>
    </w:p>
    <w:p w14:paraId="0CBF42C9" w14:textId="77777777" w:rsidR="002270D4" w:rsidRDefault="00F76601" w:rsidP="00E66DB0">
      <w:pPr>
        <w:spacing w:after="0" w:line="240" w:lineRule="auto"/>
        <w:jc w:val="both"/>
      </w:pPr>
      <w:r>
        <w:t xml:space="preserve">For seniors who become addicted, </w:t>
      </w:r>
      <w:r w:rsidR="002270D4">
        <w:t>therapy</w:t>
      </w:r>
      <w:r w:rsidR="008B4F1C">
        <w:t xml:space="preserve"> is an essential part of treatment. Cognitive behavioral therapy, family counseling, and other therapy approaches can help cope with stress, environmental factors and </w:t>
      </w:r>
      <w:r w:rsidR="00B160DA">
        <w:t>isolat</w:t>
      </w:r>
      <w:r w:rsidR="00CB6364">
        <w:t xml:space="preserve">ion that make staying off drugs </w:t>
      </w:r>
      <w:r w:rsidR="00B160DA">
        <w:t>difficult</w:t>
      </w:r>
      <w:r w:rsidR="008B4F1C">
        <w:t xml:space="preserve">. </w:t>
      </w:r>
      <w:r w:rsidR="002270D4">
        <w:t>However, for many seniors, finding</w:t>
      </w:r>
      <w:r w:rsidR="0033775B">
        <w:t xml:space="preserve"> a behavioral health specialist</w:t>
      </w:r>
      <w:r w:rsidR="002270D4">
        <w:t xml:space="preserve"> is challenging</w:t>
      </w:r>
      <w:r w:rsidR="0033775B">
        <w:t xml:space="preserve">. </w:t>
      </w:r>
      <w:r w:rsidR="002270D4">
        <w:t xml:space="preserve">In 2013, </w:t>
      </w:r>
      <w:r w:rsidR="002270D4" w:rsidRPr="002270D4">
        <w:t xml:space="preserve">all nine types of behavioral health practitioners </w:t>
      </w:r>
      <w:r w:rsidR="002270D4">
        <w:t xml:space="preserve">had shortages. </w:t>
      </w:r>
      <w:r w:rsidR="002270D4" w:rsidRPr="002270D4">
        <w:t>Six provider types have estimated shortages of more than 10,000 FTEs</w:t>
      </w:r>
      <w:r w:rsidR="002270D4">
        <w:t xml:space="preserve">, including </w:t>
      </w:r>
      <w:r w:rsidR="00CB6364">
        <w:t xml:space="preserve">psychiatrists; clinical and counseling </w:t>
      </w:r>
      <w:r w:rsidR="002270D4" w:rsidRPr="002270D4">
        <w:t xml:space="preserve">psychologists; substance abuse and behavioral disorder counselors; mental health and substance abuse social workers; </w:t>
      </w:r>
      <w:r w:rsidR="00CB6364">
        <w:t>and mental health counselors</w:t>
      </w:r>
      <w:r w:rsidR="002270D4" w:rsidRPr="002270D4">
        <w:t>.</w:t>
      </w:r>
      <w:r w:rsidR="002270D4">
        <w:rPr>
          <w:rStyle w:val="FootnoteReference"/>
        </w:rPr>
        <w:footnoteReference w:id="3"/>
      </w:r>
      <w:r w:rsidR="002270D4" w:rsidRPr="002270D4">
        <w:t xml:space="preserve"> </w:t>
      </w:r>
      <w:r w:rsidR="002270D4">
        <w:t>In rural areas, the challenge is particularly acute.</w:t>
      </w:r>
    </w:p>
    <w:p w14:paraId="2071CDC6" w14:textId="77777777" w:rsidR="002270D4" w:rsidRDefault="002270D4" w:rsidP="00E66DB0">
      <w:pPr>
        <w:spacing w:after="0" w:line="240" w:lineRule="auto"/>
        <w:jc w:val="both"/>
      </w:pPr>
    </w:p>
    <w:p w14:paraId="48EFEA9A" w14:textId="77777777" w:rsidR="0033775B" w:rsidRDefault="002270D4" w:rsidP="00E66DB0">
      <w:pPr>
        <w:spacing w:after="0" w:line="240" w:lineRule="auto"/>
        <w:jc w:val="both"/>
      </w:pPr>
      <w:r>
        <w:t>Tele</w:t>
      </w:r>
      <w:r w:rsidR="007727D3">
        <w:t>health</w:t>
      </w:r>
      <w:r>
        <w:t xml:space="preserve"> can help. According to a 2012 HRSA report, </w:t>
      </w:r>
      <w:proofErr w:type="spellStart"/>
      <w:r>
        <w:t>t</w:t>
      </w:r>
      <w:r w:rsidR="0033775B" w:rsidRPr="0033775B">
        <w:t>elebehavioral</w:t>
      </w:r>
      <w:proofErr w:type="spellEnd"/>
      <w:r w:rsidR="0033775B" w:rsidRPr="0033775B">
        <w:t xml:space="preserve"> health may be one of the more successful applications of telehealth across the spectrum of clinical services as outcomes and patient acceptance for </w:t>
      </w:r>
      <w:proofErr w:type="spellStart"/>
      <w:r w:rsidR="0033775B" w:rsidRPr="0033775B">
        <w:t>telebehavioral</w:t>
      </w:r>
      <w:proofErr w:type="spellEnd"/>
      <w:r w:rsidR="0033775B" w:rsidRPr="0033775B">
        <w:t xml:space="preserve"> health are comparable to face-to-face visits</w:t>
      </w:r>
      <w:r>
        <w:t>.</w:t>
      </w:r>
      <w:r>
        <w:rPr>
          <w:rStyle w:val="FootnoteReference"/>
        </w:rPr>
        <w:footnoteReference w:id="4"/>
      </w:r>
      <w:r>
        <w:t xml:space="preserve"> The report went on to detail how </w:t>
      </w:r>
      <w:proofErr w:type="spellStart"/>
      <w:r>
        <w:t>telebehavioral</w:t>
      </w:r>
      <w:proofErr w:type="spellEnd"/>
      <w:r>
        <w:t xml:space="preserve"> health can improve care delivery, expand staff capacity, enhance training capacity and achieve cost savings. </w:t>
      </w:r>
    </w:p>
    <w:p w14:paraId="3708040E" w14:textId="77777777" w:rsidR="008430FE" w:rsidRDefault="008430FE" w:rsidP="00E66DB0">
      <w:pPr>
        <w:spacing w:after="0" w:line="240" w:lineRule="auto"/>
        <w:jc w:val="both"/>
      </w:pPr>
    </w:p>
    <w:p w14:paraId="499050AC" w14:textId="77777777" w:rsidR="00CB6364" w:rsidRDefault="00CB6364" w:rsidP="00E66DB0">
      <w:pPr>
        <w:spacing w:after="0" w:line="240" w:lineRule="auto"/>
        <w:jc w:val="both"/>
      </w:pPr>
      <w:r>
        <w:t xml:space="preserve">Despite this evidence, a Medicare fee-for-service </w:t>
      </w:r>
      <w:r w:rsidR="00B160DA">
        <w:t>provider can only be reimbursed for telehealth if the patient is in a</w:t>
      </w:r>
      <w:r w:rsidR="007727D3">
        <w:t xml:space="preserve">n </w:t>
      </w:r>
      <w:r w:rsidR="00B160DA">
        <w:t xml:space="preserve">institutional setting </w:t>
      </w:r>
      <w:r w:rsidR="007727D3">
        <w:t>in a rural area at the time of service. The institutional setting is referred to as an “originating site.” These restrictions</w:t>
      </w:r>
      <w:r w:rsidR="00B160DA">
        <w:t xml:space="preserve"> significantly limit the number of </w:t>
      </w:r>
      <w:proofErr w:type="spellStart"/>
      <w:r w:rsidR="00B160DA">
        <w:t>telebehavioral</w:t>
      </w:r>
      <w:proofErr w:type="spellEnd"/>
      <w:r w:rsidR="00B160DA">
        <w:t xml:space="preserve"> health visits available in Medicare</w:t>
      </w:r>
      <w:r w:rsidR="006434A3">
        <w:t xml:space="preserve"> even though there are more than a dozen behavioral health codes approved for telehealth in Part B. </w:t>
      </w:r>
    </w:p>
    <w:p w14:paraId="4073AA2E" w14:textId="77777777" w:rsidR="00CB6364" w:rsidRDefault="00CB6364" w:rsidP="00E66DB0">
      <w:pPr>
        <w:spacing w:after="0" w:line="240" w:lineRule="auto"/>
        <w:jc w:val="both"/>
      </w:pPr>
    </w:p>
    <w:p w14:paraId="30547C6E" w14:textId="57E77796" w:rsidR="008430FE" w:rsidRDefault="00550DAA" w:rsidP="00E66DB0">
      <w:pPr>
        <w:spacing w:after="0" w:line="240" w:lineRule="auto"/>
        <w:jc w:val="both"/>
      </w:pPr>
      <w:r>
        <w:t>The</w:t>
      </w:r>
      <w:r w:rsidR="00365734">
        <w:t xml:space="preserve"> </w:t>
      </w:r>
      <w:proofErr w:type="spellStart"/>
      <w:r w:rsidR="00365734">
        <w:t>eTREAT</w:t>
      </w:r>
      <w:proofErr w:type="spellEnd"/>
      <w:r w:rsidR="00753D57">
        <w:t xml:space="preserve"> Act eliminates the biggest barrier to adoption of telehealth in Medicare, the</w:t>
      </w:r>
      <w:r w:rsidR="00B160DA">
        <w:t xml:space="preserve"> rural and originating site </w:t>
      </w:r>
      <w:r w:rsidR="00CB6364">
        <w:t xml:space="preserve">restrictions. </w:t>
      </w:r>
      <w:r w:rsidR="00753D57">
        <w:t xml:space="preserve">These restrictions have hindered telehealth use in Medicare as employers and the commercial sector generally have embraced telehealth. More than 90 percent of large employers offer telehealth benefits. It’s time that Medicare caught up so seniors can also use these tools. </w:t>
      </w:r>
      <w:r w:rsidR="006B12B1">
        <w:t xml:space="preserve">By </w:t>
      </w:r>
      <w:r w:rsidR="00753D57">
        <w:t>removing the rural and originati</w:t>
      </w:r>
      <w:r w:rsidR="00365734">
        <w:t xml:space="preserve">ng site restrictions, the </w:t>
      </w:r>
      <w:proofErr w:type="spellStart"/>
      <w:r w:rsidR="00365734">
        <w:t>eTREAT</w:t>
      </w:r>
      <w:proofErr w:type="spellEnd"/>
      <w:r w:rsidR="00365734">
        <w:t xml:space="preserve"> </w:t>
      </w:r>
      <w:r w:rsidR="00753D57">
        <w:t>Act will expand</w:t>
      </w:r>
      <w:r w:rsidR="006B12B1">
        <w:t xml:space="preserve"> the number of providers </w:t>
      </w:r>
      <w:r w:rsidR="00753D57">
        <w:t xml:space="preserve">who will treat </w:t>
      </w:r>
      <w:r w:rsidR="006B12B1">
        <w:t xml:space="preserve">elderly </w:t>
      </w:r>
      <w:r w:rsidR="00753D57">
        <w:t xml:space="preserve">patients with substance abuse disorder </w:t>
      </w:r>
      <w:r w:rsidR="006B12B1">
        <w:t>in their own homes through telehealth</w:t>
      </w:r>
      <w:r w:rsidR="009B361B">
        <w:t>.</w:t>
      </w:r>
      <w:r w:rsidR="006B12B1">
        <w:t xml:space="preserve"> </w:t>
      </w:r>
      <w:r w:rsidR="00BF50E3">
        <w:t xml:space="preserve">In addition, as HHS and CMS consider the new Medicare Advantage telehealth benefit, coverage of behavioral health for </w:t>
      </w:r>
      <w:r w:rsidR="009B361B">
        <w:t>substance abuse disorder</w:t>
      </w:r>
      <w:r w:rsidR="00BF50E3">
        <w:t xml:space="preserve"> will be a natural addition if the restrictions are already lifted in fee-for-service. </w:t>
      </w:r>
    </w:p>
    <w:p w14:paraId="34365A02" w14:textId="77777777" w:rsidR="00CB6364" w:rsidRDefault="00CB6364" w:rsidP="00E66DB0">
      <w:pPr>
        <w:spacing w:after="0" w:line="240" w:lineRule="auto"/>
        <w:jc w:val="both"/>
      </w:pPr>
    </w:p>
    <w:p w14:paraId="2427D499" w14:textId="6846074C" w:rsidR="00CB6364" w:rsidRDefault="00CB6364" w:rsidP="00E66DB0">
      <w:pPr>
        <w:spacing w:after="0" w:line="240" w:lineRule="auto"/>
        <w:jc w:val="both"/>
      </w:pPr>
      <w:r>
        <w:t>For the reasons above</w:t>
      </w:r>
      <w:r w:rsidR="0068262C">
        <w:t xml:space="preserve">, we urge you to support the </w:t>
      </w:r>
      <w:proofErr w:type="spellStart"/>
      <w:r w:rsidR="00365734">
        <w:t>eTREAT</w:t>
      </w:r>
      <w:proofErr w:type="spellEnd"/>
      <w:r w:rsidR="0068262C">
        <w:t xml:space="preserve"> Act</w:t>
      </w:r>
      <w:r w:rsidR="009B361B">
        <w:t xml:space="preserve"> and include in the final package of legislation aimed at addressing our country’s opioid addiction crisis</w:t>
      </w:r>
      <w:r w:rsidR="0068262C">
        <w:t>.</w:t>
      </w:r>
      <w:r>
        <w:t xml:space="preserve"> </w:t>
      </w:r>
      <w:r w:rsidR="00BF50E3">
        <w:t>Thank you.</w:t>
      </w:r>
    </w:p>
    <w:p w14:paraId="2713AB34" w14:textId="77777777" w:rsidR="00CB6364" w:rsidRDefault="00CB6364" w:rsidP="0033775B">
      <w:pPr>
        <w:spacing w:after="0" w:line="240" w:lineRule="auto"/>
      </w:pPr>
    </w:p>
    <w:p w14:paraId="389BB784" w14:textId="77777777" w:rsidR="00CB6364" w:rsidRPr="0033775B" w:rsidRDefault="00CB6364" w:rsidP="0033775B">
      <w:pPr>
        <w:spacing w:after="0" w:line="240" w:lineRule="auto"/>
      </w:pPr>
      <w:r>
        <w:t xml:space="preserve">Sincerely, </w:t>
      </w:r>
    </w:p>
    <w:p w14:paraId="434F01C5" w14:textId="77777777" w:rsidR="00641FDE" w:rsidRDefault="00641FDE" w:rsidP="008B4F1C">
      <w:pPr>
        <w:spacing w:after="0" w:line="240" w:lineRule="auto"/>
      </w:pPr>
    </w:p>
    <w:p w14:paraId="2D6CDB59" w14:textId="0ED2247A" w:rsidR="00733EA9" w:rsidRDefault="00733EA9" w:rsidP="008B4F1C">
      <w:pPr>
        <w:spacing w:after="0" w:line="240" w:lineRule="auto"/>
      </w:pPr>
      <w:r>
        <w:t>Alliance for Connected Care</w:t>
      </w:r>
    </w:p>
    <w:p w14:paraId="53D70E1D" w14:textId="77777777" w:rsidR="00641FDE" w:rsidRDefault="00641FDE" w:rsidP="00641FDE">
      <w:pPr>
        <w:spacing w:after="0" w:line="240" w:lineRule="auto"/>
      </w:pPr>
      <w:r>
        <w:t>American Telemedicine Association</w:t>
      </w:r>
    </w:p>
    <w:p w14:paraId="2ECE108C" w14:textId="18F092DE" w:rsidR="00CA5439" w:rsidRDefault="00CA5439" w:rsidP="008B4F1C">
      <w:pPr>
        <w:spacing w:after="0" w:line="240" w:lineRule="auto"/>
      </w:pPr>
      <w:r>
        <w:t>Association for Behavioral Health and Wellness</w:t>
      </w:r>
    </w:p>
    <w:p w14:paraId="68827867" w14:textId="77777777" w:rsidR="009E7E45" w:rsidRDefault="009E7E45" w:rsidP="009E7E45">
      <w:pPr>
        <w:pStyle w:val="PlainText"/>
      </w:pPr>
      <w:r>
        <w:t xml:space="preserve">College of Healthcare Information Management Executives. </w:t>
      </w:r>
    </w:p>
    <w:p w14:paraId="7EAC1F21" w14:textId="61E56264" w:rsidR="00937B25" w:rsidRDefault="00937B25" w:rsidP="008B4F1C">
      <w:pPr>
        <w:spacing w:after="0" w:line="240" w:lineRule="auto"/>
      </w:pPr>
      <w:r>
        <w:t>Mental Health America</w:t>
      </w:r>
    </w:p>
    <w:p w14:paraId="228F62DB" w14:textId="5CED897A" w:rsidR="00733EA9" w:rsidRDefault="00733EA9" w:rsidP="008B4F1C">
      <w:pPr>
        <w:spacing w:after="0" w:line="240" w:lineRule="auto"/>
      </w:pPr>
      <w:r>
        <w:t>National Council for Behavioral Health</w:t>
      </w:r>
    </w:p>
    <w:p w14:paraId="1FBFE464" w14:textId="32010024" w:rsidR="00733EA9" w:rsidRDefault="00733EA9" w:rsidP="008B4F1C">
      <w:pPr>
        <w:spacing w:after="0" w:line="240" w:lineRule="auto"/>
      </w:pPr>
      <w:r>
        <w:t>National Alliance on Mental Illness</w:t>
      </w:r>
    </w:p>
    <w:p w14:paraId="6B6F2930" w14:textId="5C92CE01" w:rsidR="005E5EC6" w:rsidRDefault="005E5EC6" w:rsidP="008B4F1C">
      <w:pPr>
        <w:spacing w:after="0" w:line="240" w:lineRule="auto"/>
      </w:pPr>
      <w:r>
        <w:t>HIMSS</w:t>
      </w:r>
    </w:p>
    <w:p w14:paraId="06F5F18E" w14:textId="6B8DC114" w:rsidR="005E5EC6" w:rsidRDefault="005E5EC6" w:rsidP="008B4F1C">
      <w:pPr>
        <w:spacing w:after="0" w:line="240" w:lineRule="auto"/>
        <w:rPr>
          <w:rFonts w:eastAsia="Times New Roman"/>
        </w:rPr>
      </w:pPr>
      <w:r>
        <w:rPr>
          <w:rFonts w:eastAsia="Times New Roman"/>
        </w:rPr>
        <w:t>PCHAlliance</w:t>
      </w:r>
    </w:p>
    <w:p w14:paraId="38351EDE" w14:textId="07F2F049" w:rsidR="00FA272D" w:rsidRDefault="00FA272D" w:rsidP="008B4F1C">
      <w:pPr>
        <w:spacing w:after="0" w:line="240" w:lineRule="auto"/>
      </w:pPr>
      <w:r>
        <w:t>National Association of ACOs</w:t>
      </w:r>
    </w:p>
    <w:p w14:paraId="51B9BD7E" w14:textId="62216A0A" w:rsidR="005120A7" w:rsidRDefault="009E081F" w:rsidP="005120A7">
      <w:pPr>
        <w:spacing w:after="0" w:line="240" w:lineRule="auto"/>
      </w:pPr>
      <w:r>
        <w:rPr>
          <w:rFonts w:eastAsia="Times New Roman"/>
        </w:rPr>
        <w:t>The Connected Health Initiative</w:t>
      </w:r>
    </w:p>
    <w:p w14:paraId="5DA76788" w14:textId="77777777" w:rsidR="005120A7" w:rsidRDefault="005120A7" w:rsidP="005120A7">
      <w:pPr>
        <w:spacing w:after="0" w:line="240" w:lineRule="auto"/>
      </w:pPr>
    </w:p>
    <w:sectPr w:rsidR="005120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622E6" w14:textId="77777777" w:rsidR="00A0081E" w:rsidRDefault="00A0081E" w:rsidP="00F76601">
      <w:pPr>
        <w:spacing w:after="0" w:line="240" w:lineRule="auto"/>
      </w:pPr>
      <w:r>
        <w:separator/>
      </w:r>
    </w:p>
  </w:endnote>
  <w:endnote w:type="continuationSeparator" w:id="0">
    <w:p w14:paraId="5EB88871" w14:textId="77777777" w:rsidR="00A0081E" w:rsidRDefault="00A0081E" w:rsidP="00F7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3C45E" w14:textId="77777777" w:rsidR="00A0081E" w:rsidRDefault="00A0081E" w:rsidP="00F76601">
      <w:pPr>
        <w:spacing w:after="0" w:line="240" w:lineRule="auto"/>
      </w:pPr>
      <w:r>
        <w:separator/>
      </w:r>
    </w:p>
  </w:footnote>
  <w:footnote w:type="continuationSeparator" w:id="0">
    <w:p w14:paraId="6C631434" w14:textId="77777777" w:rsidR="00A0081E" w:rsidRDefault="00A0081E" w:rsidP="00F76601">
      <w:pPr>
        <w:spacing w:after="0" w:line="240" w:lineRule="auto"/>
      </w:pPr>
      <w:r>
        <w:continuationSeparator/>
      </w:r>
    </w:p>
  </w:footnote>
  <w:footnote w:id="1">
    <w:p w14:paraId="5F7EA5D4" w14:textId="77777777" w:rsidR="00F76601" w:rsidRDefault="00F76601">
      <w:pPr>
        <w:pStyle w:val="FootnoteText"/>
      </w:pPr>
      <w:r>
        <w:rPr>
          <w:rStyle w:val="FootnoteReference"/>
        </w:rPr>
        <w:footnoteRef/>
      </w:r>
      <w:r>
        <w:t xml:space="preserve"> </w:t>
      </w:r>
      <w:hyperlink r:id="rId1" w:history="1">
        <w:r w:rsidRPr="00203CCC">
          <w:rPr>
            <w:rStyle w:val="Hyperlink"/>
          </w:rPr>
          <w:t>https://www.samhsa.gov/capt/sites/default/files/resources/resources-opiod-use-older-adult-pop.pdf</w:t>
        </w:r>
      </w:hyperlink>
    </w:p>
  </w:footnote>
  <w:footnote w:id="2">
    <w:p w14:paraId="18AC91D8" w14:textId="77777777" w:rsidR="00F76601" w:rsidRDefault="00F76601">
      <w:pPr>
        <w:pStyle w:val="FootnoteText"/>
      </w:pPr>
      <w:r>
        <w:rPr>
          <w:rStyle w:val="FootnoteReference"/>
        </w:rPr>
        <w:footnoteRef/>
      </w:r>
      <w:r>
        <w:t xml:space="preserve"> </w:t>
      </w:r>
      <w:hyperlink r:id="rId2" w:history="1">
        <w:r w:rsidRPr="00203CCC">
          <w:rPr>
            <w:rStyle w:val="Hyperlink"/>
          </w:rPr>
          <w:t>https://oig.hhs.gov/oei/reports/oei-02-17-00250.pdf</w:t>
        </w:r>
      </w:hyperlink>
    </w:p>
  </w:footnote>
  <w:footnote w:id="3">
    <w:p w14:paraId="2F63C2C4" w14:textId="77777777" w:rsidR="002270D4" w:rsidRDefault="002270D4">
      <w:pPr>
        <w:pStyle w:val="FootnoteText"/>
      </w:pPr>
      <w:r>
        <w:rPr>
          <w:rStyle w:val="FootnoteReference"/>
        </w:rPr>
        <w:footnoteRef/>
      </w:r>
      <w:r>
        <w:t xml:space="preserve"> </w:t>
      </w:r>
      <w:r w:rsidRPr="002270D4">
        <w:t>https://bhw.hrsa.gov/sites/default/files/bhw/health-workforce-analysis/research/projections/behavioral-health2013-2025.pdf</w:t>
      </w:r>
    </w:p>
  </w:footnote>
  <w:footnote w:id="4">
    <w:p w14:paraId="2133B4FE" w14:textId="77777777" w:rsidR="002270D4" w:rsidRDefault="002270D4" w:rsidP="008430FE">
      <w:pPr>
        <w:pStyle w:val="FootnoteText"/>
        <w:ind w:right="-270"/>
      </w:pPr>
      <w:r>
        <w:rPr>
          <w:rStyle w:val="FootnoteReference"/>
        </w:rPr>
        <w:footnoteRef/>
      </w:r>
      <w:hyperlink r:id="rId3" w:history="1">
        <w:r w:rsidR="00B160DA" w:rsidRPr="00203CCC">
          <w:rPr>
            <w:rStyle w:val="Hyperlink"/>
          </w:rPr>
          <w:t>https://www.hrsa.gov/sites/default/files/publichealth/guidelines/BehavioralHealth/behavioralhealthcareaccess.pdf</w:t>
        </w:r>
      </w:hyperlink>
    </w:p>
    <w:p w14:paraId="57B33B4E" w14:textId="77777777" w:rsidR="002270D4" w:rsidRDefault="002270D4" w:rsidP="008430FE">
      <w:pPr>
        <w:pStyle w:val="FootnoteText"/>
        <w:ind w:right="-18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A7"/>
    <w:rsid w:val="000A3DC1"/>
    <w:rsid w:val="000E2267"/>
    <w:rsid w:val="00114F97"/>
    <w:rsid w:val="00155407"/>
    <w:rsid w:val="001D3BC3"/>
    <w:rsid w:val="00222964"/>
    <w:rsid w:val="002270D4"/>
    <w:rsid w:val="00244AE1"/>
    <w:rsid w:val="002813DB"/>
    <w:rsid w:val="00282485"/>
    <w:rsid w:val="002C5CBF"/>
    <w:rsid w:val="002E4EEC"/>
    <w:rsid w:val="0033775B"/>
    <w:rsid w:val="00365734"/>
    <w:rsid w:val="00410B2D"/>
    <w:rsid w:val="0046149B"/>
    <w:rsid w:val="00470633"/>
    <w:rsid w:val="004C3ED7"/>
    <w:rsid w:val="004E5403"/>
    <w:rsid w:val="005120A7"/>
    <w:rsid w:val="00550DAA"/>
    <w:rsid w:val="0055716B"/>
    <w:rsid w:val="00595529"/>
    <w:rsid w:val="005E5EC6"/>
    <w:rsid w:val="0063436F"/>
    <w:rsid w:val="00641FDE"/>
    <w:rsid w:val="006434A3"/>
    <w:rsid w:val="0068262C"/>
    <w:rsid w:val="00683502"/>
    <w:rsid w:val="006B12B1"/>
    <w:rsid w:val="006B5F68"/>
    <w:rsid w:val="006C5AB0"/>
    <w:rsid w:val="006C5F69"/>
    <w:rsid w:val="00715281"/>
    <w:rsid w:val="00733EA9"/>
    <w:rsid w:val="00753D57"/>
    <w:rsid w:val="007727D3"/>
    <w:rsid w:val="008430FE"/>
    <w:rsid w:val="008928CB"/>
    <w:rsid w:val="008B4F1C"/>
    <w:rsid w:val="008D270D"/>
    <w:rsid w:val="00937B25"/>
    <w:rsid w:val="009B361B"/>
    <w:rsid w:val="009E081F"/>
    <w:rsid w:val="009E1492"/>
    <w:rsid w:val="009E7E45"/>
    <w:rsid w:val="00A0081E"/>
    <w:rsid w:val="00B019A8"/>
    <w:rsid w:val="00B160DA"/>
    <w:rsid w:val="00B20664"/>
    <w:rsid w:val="00BF50E3"/>
    <w:rsid w:val="00C97802"/>
    <w:rsid w:val="00CA2E7E"/>
    <w:rsid w:val="00CA5439"/>
    <w:rsid w:val="00CB6364"/>
    <w:rsid w:val="00CD44C2"/>
    <w:rsid w:val="00CE2159"/>
    <w:rsid w:val="00CE66D4"/>
    <w:rsid w:val="00DD1A1F"/>
    <w:rsid w:val="00DF54EF"/>
    <w:rsid w:val="00E06ED5"/>
    <w:rsid w:val="00E66DB0"/>
    <w:rsid w:val="00EF1AE7"/>
    <w:rsid w:val="00F76601"/>
    <w:rsid w:val="00FA272D"/>
    <w:rsid w:val="00FF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C746"/>
  <w15:chartTrackingRefBased/>
  <w15:docId w15:val="{F25A2367-A9EE-40E7-8787-3D0B804A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F1C"/>
    <w:rPr>
      <w:color w:val="0000FF"/>
      <w:u w:val="single"/>
    </w:rPr>
  </w:style>
  <w:style w:type="paragraph" w:styleId="FootnoteText">
    <w:name w:val="footnote text"/>
    <w:basedOn w:val="Normal"/>
    <w:link w:val="FootnoteTextChar"/>
    <w:uiPriority w:val="99"/>
    <w:semiHidden/>
    <w:unhideWhenUsed/>
    <w:rsid w:val="00F766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601"/>
    <w:rPr>
      <w:sz w:val="20"/>
      <w:szCs w:val="20"/>
    </w:rPr>
  </w:style>
  <w:style w:type="character" w:styleId="FootnoteReference">
    <w:name w:val="footnote reference"/>
    <w:basedOn w:val="DefaultParagraphFont"/>
    <w:uiPriority w:val="99"/>
    <w:semiHidden/>
    <w:unhideWhenUsed/>
    <w:rsid w:val="00F76601"/>
    <w:rPr>
      <w:vertAlign w:val="superscript"/>
    </w:rPr>
  </w:style>
  <w:style w:type="character" w:customStyle="1" w:styleId="UnresolvedMention1">
    <w:name w:val="Unresolved Mention1"/>
    <w:basedOn w:val="DefaultParagraphFont"/>
    <w:uiPriority w:val="99"/>
    <w:semiHidden/>
    <w:unhideWhenUsed/>
    <w:rsid w:val="00F76601"/>
    <w:rPr>
      <w:color w:val="808080"/>
      <w:shd w:val="clear" w:color="auto" w:fill="E6E6E6"/>
    </w:rPr>
  </w:style>
  <w:style w:type="paragraph" w:styleId="PlainText">
    <w:name w:val="Plain Text"/>
    <w:basedOn w:val="Normal"/>
    <w:link w:val="PlainTextChar"/>
    <w:uiPriority w:val="99"/>
    <w:semiHidden/>
    <w:unhideWhenUsed/>
    <w:rsid w:val="009E7E4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7E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5956">
      <w:bodyDiv w:val="1"/>
      <w:marLeft w:val="0"/>
      <w:marRight w:val="0"/>
      <w:marTop w:val="0"/>
      <w:marBottom w:val="0"/>
      <w:divBdr>
        <w:top w:val="none" w:sz="0" w:space="0" w:color="auto"/>
        <w:left w:val="none" w:sz="0" w:space="0" w:color="auto"/>
        <w:bottom w:val="none" w:sz="0" w:space="0" w:color="auto"/>
        <w:right w:val="none" w:sz="0" w:space="0" w:color="auto"/>
      </w:divBdr>
      <w:divsChild>
        <w:div w:id="1752237540">
          <w:marLeft w:val="0"/>
          <w:marRight w:val="0"/>
          <w:marTop w:val="0"/>
          <w:marBottom w:val="0"/>
          <w:divBdr>
            <w:top w:val="none" w:sz="0" w:space="0" w:color="auto"/>
            <w:left w:val="none" w:sz="0" w:space="0" w:color="auto"/>
            <w:bottom w:val="none" w:sz="0" w:space="0" w:color="auto"/>
            <w:right w:val="none" w:sz="0" w:space="0" w:color="auto"/>
          </w:divBdr>
        </w:div>
        <w:div w:id="1976906181">
          <w:marLeft w:val="0"/>
          <w:marRight w:val="0"/>
          <w:marTop w:val="0"/>
          <w:marBottom w:val="0"/>
          <w:divBdr>
            <w:top w:val="none" w:sz="0" w:space="0" w:color="auto"/>
            <w:left w:val="none" w:sz="0" w:space="0" w:color="auto"/>
            <w:bottom w:val="none" w:sz="0" w:space="0" w:color="auto"/>
            <w:right w:val="none" w:sz="0" w:space="0" w:color="auto"/>
          </w:divBdr>
        </w:div>
        <w:div w:id="1519392599">
          <w:marLeft w:val="0"/>
          <w:marRight w:val="0"/>
          <w:marTop w:val="0"/>
          <w:marBottom w:val="0"/>
          <w:divBdr>
            <w:top w:val="none" w:sz="0" w:space="0" w:color="auto"/>
            <w:left w:val="none" w:sz="0" w:space="0" w:color="auto"/>
            <w:bottom w:val="none" w:sz="0" w:space="0" w:color="auto"/>
            <w:right w:val="none" w:sz="0" w:space="0" w:color="auto"/>
          </w:divBdr>
        </w:div>
      </w:divsChild>
    </w:div>
    <w:div w:id="358513810">
      <w:bodyDiv w:val="1"/>
      <w:marLeft w:val="0"/>
      <w:marRight w:val="0"/>
      <w:marTop w:val="0"/>
      <w:marBottom w:val="0"/>
      <w:divBdr>
        <w:top w:val="none" w:sz="0" w:space="0" w:color="auto"/>
        <w:left w:val="none" w:sz="0" w:space="0" w:color="auto"/>
        <w:bottom w:val="none" w:sz="0" w:space="0" w:color="auto"/>
        <w:right w:val="none" w:sz="0" w:space="0" w:color="auto"/>
      </w:divBdr>
      <w:divsChild>
        <w:div w:id="1266377240">
          <w:marLeft w:val="0"/>
          <w:marRight w:val="0"/>
          <w:marTop w:val="0"/>
          <w:marBottom w:val="0"/>
          <w:divBdr>
            <w:top w:val="none" w:sz="0" w:space="0" w:color="auto"/>
            <w:left w:val="none" w:sz="0" w:space="0" w:color="auto"/>
            <w:bottom w:val="none" w:sz="0" w:space="0" w:color="auto"/>
            <w:right w:val="none" w:sz="0" w:space="0" w:color="auto"/>
          </w:divBdr>
        </w:div>
        <w:div w:id="1488399846">
          <w:marLeft w:val="0"/>
          <w:marRight w:val="0"/>
          <w:marTop w:val="0"/>
          <w:marBottom w:val="0"/>
          <w:divBdr>
            <w:top w:val="none" w:sz="0" w:space="0" w:color="auto"/>
            <w:left w:val="none" w:sz="0" w:space="0" w:color="auto"/>
            <w:bottom w:val="none" w:sz="0" w:space="0" w:color="auto"/>
            <w:right w:val="none" w:sz="0" w:space="0" w:color="auto"/>
          </w:divBdr>
        </w:div>
        <w:div w:id="1910075567">
          <w:marLeft w:val="0"/>
          <w:marRight w:val="0"/>
          <w:marTop w:val="0"/>
          <w:marBottom w:val="0"/>
          <w:divBdr>
            <w:top w:val="none" w:sz="0" w:space="0" w:color="auto"/>
            <w:left w:val="none" w:sz="0" w:space="0" w:color="auto"/>
            <w:bottom w:val="none" w:sz="0" w:space="0" w:color="auto"/>
            <w:right w:val="none" w:sz="0" w:space="0" w:color="auto"/>
          </w:divBdr>
        </w:div>
        <w:div w:id="107816348">
          <w:marLeft w:val="0"/>
          <w:marRight w:val="0"/>
          <w:marTop w:val="0"/>
          <w:marBottom w:val="0"/>
          <w:divBdr>
            <w:top w:val="none" w:sz="0" w:space="0" w:color="auto"/>
            <w:left w:val="none" w:sz="0" w:space="0" w:color="auto"/>
            <w:bottom w:val="none" w:sz="0" w:space="0" w:color="auto"/>
            <w:right w:val="none" w:sz="0" w:space="0" w:color="auto"/>
          </w:divBdr>
        </w:div>
        <w:div w:id="1737892333">
          <w:marLeft w:val="0"/>
          <w:marRight w:val="0"/>
          <w:marTop w:val="0"/>
          <w:marBottom w:val="0"/>
          <w:divBdr>
            <w:top w:val="none" w:sz="0" w:space="0" w:color="auto"/>
            <w:left w:val="none" w:sz="0" w:space="0" w:color="auto"/>
            <w:bottom w:val="none" w:sz="0" w:space="0" w:color="auto"/>
            <w:right w:val="none" w:sz="0" w:space="0" w:color="auto"/>
          </w:divBdr>
        </w:div>
        <w:div w:id="581524029">
          <w:marLeft w:val="0"/>
          <w:marRight w:val="0"/>
          <w:marTop w:val="0"/>
          <w:marBottom w:val="0"/>
          <w:divBdr>
            <w:top w:val="none" w:sz="0" w:space="0" w:color="auto"/>
            <w:left w:val="none" w:sz="0" w:space="0" w:color="auto"/>
            <w:bottom w:val="none" w:sz="0" w:space="0" w:color="auto"/>
            <w:right w:val="none" w:sz="0" w:space="0" w:color="auto"/>
          </w:divBdr>
        </w:div>
        <w:div w:id="204372013">
          <w:marLeft w:val="0"/>
          <w:marRight w:val="0"/>
          <w:marTop w:val="0"/>
          <w:marBottom w:val="0"/>
          <w:divBdr>
            <w:top w:val="none" w:sz="0" w:space="0" w:color="auto"/>
            <w:left w:val="none" w:sz="0" w:space="0" w:color="auto"/>
            <w:bottom w:val="none" w:sz="0" w:space="0" w:color="auto"/>
            <w:right w:val="none" w:sz="0" w:space="0" w:color="auto"/>
          </w:divBdr>
        </w:div>
      </w:divsChild>
    </w:div>
    <w:div w:id="545483646">
      <w:bodyDiv w:val="1"/>
      <w:marLeft w:val="0"/>
      <w:marRight w:val="0"/>
      <w:marTop w:val="0"/>
      <w:marBottom w:val="0"/>
      <w:divBdr>
        <w:top w:val="none" w:sz="0" w:space="0" w:color="auto"/>
        <w:left w:val="none" w:sz="0" w:space="0" w:color="auto"/>
        <w:bottom w:val="none" w:sz="0" w:space="0" w:color="auto"/>
        <w:right w:val="none" w:sz="0" w:space="0" w:color="auto"/>
      </w:divBdr>
    </w:div>
    <w:div w:id="618147033">
      <w:bodyDiv w:val="1"/>
      <w:marLeft w:val="0"/>
      <w:marRight w:val="0"/>
      <w:marTop w:val="0"/>
      <w:marBottom w:val="0"/>
      <w:divBdr>
        <w:top w:val="none" w:sz="0" w:space="0" w:color="auto"/>
        <w:left w:val="none" w:sz="0" w:space="0" w:color="auto"/>
        <w:bottom w:val="none" w:sz="0" w:space="0" w:color="auto"/>
        <w:right w:val="none" w:sz="0" w:space="0" w:color="auto"/>
      </w:divBdr>
    </w:div>
    <w:div w:id="808283797">
      <w:bodyDiv w:val="1"/>
      <w:marLeft w:val="0"/>
      <w:marRight w:val="0"/>
      <w:marTop w:val="0"/>
      <w:marBottom w:val="0"/>
      <w:divBdr>
        <w:top w:val="none" w:sz="0" w:space="0" w:color="auto"/>
        <w:left w:val="none" w:sz="0" w:space="0" w:color="auto"/>
        <w:bottom w:val="none" w:sz="0" w:space="0" w:color="auto"/>
        <w:right w:val="none" w:sz="0" w:space="0" w:color="auto"/>
      </w:divBdr>
      <w:divsChild>
        <w:div w:id="1327518415">
          <w:marLeft w:val="0"/>
          <w:marRight w:val="0"/>
          <w:marTop w:val="0"/>
          <w:marBottom w:val="0"/>
          <w:divBdr>
            <w:top w:val="none" w:sz="0" w:space="0" w:color="auto"/>
            <w:left w:val="none" w:sz="0" w:space="0" w:color="auto"/>
            <w:bottom w:val="none" w:sz="0" w:space="0" w:color="auto"/>
            <w:right w:val="none" w:sz="0" w:space="0" w:color="auto"/>
          </w:divBdr>
        </w:div>
        <w:div w:id="2060006846">
          <w:marLeft w:val="0"/>
          <w:marRight w:val="0"/>
          <w:marTop w:val="0"/>
          <w:marBottom w:val="0"/>
          <w:divBdr>
            <w:top w:val="none" w:sz="0" w:space="0" w:color="auto"/>
            <w:left w:val="none" w:sz="0" w:space="0" w:color="auto"/>
            <w:bottom w:val="none" w:sz="0" w:space="0" w:color="auto"/>
            <w:right w:val="none" w:sz="0" w:space="0" w:color="auto"/>
          </w:divBdr>
        </w:div>
        <w:div w:id="1652369589">
          <w:marLeft w:val="0"/>
          <w:marRight w:val="0"/>
          <w:marTop w:val="0"/>
          <w:marBottom w:val="0"/>
          <w:divBdr>
            <w:top w:val="none" w:sz="0" w:space="0" w:color="auto"/>
            <w:left w:val="none" w:sz="0" w:space="0" w:color="auto"/>
            <w:bottom w:val="none" w:sz="0" w:space="0" w:color="auto"/>
            <w:right w:val="none" w:sz="0" w:space="0" w:color="auto"/>
          </w:divBdr>
        </w:div>
      </w:divsChild>
    </w:div>
    <w:div w:id="957568088">
      <w:bodyDiv w:val="1"/>
      <w:marLeft w:val="0"/>
      <w:marRight w:val="0"/>
      <w:marTop w:val="0"/>
      <w:marBottom w:val="0"/>
      <w:divBdr>
        <w:top w:val="none" w:sz="0" w:space="0" w:color="auto"/>
        <w:left w:val="none" w:sz="0" w:space="0" w:color="auto"/>
        <w:bottom w:val="none" w:sz="0" w:space="0" w:color="auto"/>
        <w:right w:val="none" w:sz="0" w:space="0" w:color="auto"/>
      </w:divBdr>
      <w:divsChild>
        <w:div w:id="1062678880">
          <w:marLeft w:val="0"/>
          <w:marRight w:val="0"/>
          <w:marTop w:val="0"/>
          <w:marBottom w:val="0"/>
          <w:divBdr>
            <w:top w:val="none" w:sz="0" w:space="0" w:color="auto"/>
            <w:left w:val="none" w:sz="0" w:space="0" w:color="auto"/>
            <w:bottom w:val="none" w:sz="0" w:space="0" w:color="auto"/>
            <w:right w:val="none" w:sz="0" w:space="0" w:color="auto"/>
          </w:divBdr>
        </w:div>
        <w:div w:id="1306735696">
          <w:marLeft w:val="0"/>
          <w:marRight w:val="0"/>
          <w:marTop w:val="0"/>
          <w:marBottom w:val="0"/>
          <w:divBdr>
            <w:top w:val="none" w:sz="0" w:space="0" w:color="auto"/>
            <w:left w:val="none" w:sz="0" w:space="0" w:color="auto"/>
            <w:bottom w:val="none" w:sz="0" w:space="0" w:color="auto"/>
            <w:right w:val="none" w:sz="0" w:space="0" w:color="auto"/>
          </w:divBdr>
        </w:div>
        <w:div w:id="2119375928">
          <w:marLeft w:val="0"/>
          <w:marRight w:val="0"/>
          <w:marTop w:val="0"/>
          <w:marBottom w:val="0"/>
          <w:divBdr>
            <w:top w:val="none" w:sz="0" w:space="0" w:color="auto"/>
            <w:left w:val="none" w:sz="0" w:space="0" w:color="auto"/>
            <w:bottom w:val="none" w:sz="0" w:space="0" w:color="auto"/>
            <w:right w:val="none" w:sz="0" w:space="0" w:color="auto"/>
          </w:divBdr>
        </w:div>
        <w:div w:id="775948474">
          <w:marLeft w:val="0"/>
          <w:marRight w:val="0"/>
          <w:marTop w:val="0"/>
          <w:marBottom w:val="0"/>
          <w:divBdr>
            <w:top w:val="none" w:sz="0" w:space="0" w:color="auto"/>
            <w:left w:val="none" w:sz="0" w:space="0" w:color="auto"/>
            <w:bottom w:val="none" w:sz="0" w:space="0" w:color="auto"/>
            <w:right w:val="none" w:sz="0" w:space="0" w:color="auto"/>
          </w:divBdr>
        </w:div>
        <w:div w:id="1623267933">
          <w:marLeft w:val="0"/>
          <w:marRight w:val="0"/>
          <w:marTop w:val="0"/>
          <w:marBottom w:val="0"/>
          <w:divBdr>
            <w:top w:val="none" w:sz="0" w:space="0" w:color="auto"/>
            <w:left w:val="none" w:sz="0" w:space="0" w:color="auto"/>
            <w:bottom w:val="none" w:sz="0" w:space="0" w:color="auto"/>
            <w:right w:val="none" w:sz="0" w:space="0" w:color="auto"/>
          </w:divBdr>
        </w:div>
        <w:div w:id="1827359528">
          <w:marLeft w:val="0"/>
          <w:marRight w:val="0"/>
          <w:marTop w:val="0"/>
          <w:marBottom w:val="0"/>
          <w:divBdr>
            <w:top w:val="none" w:sz="0" w:space="0" w:color="auto"/>
            <w:left w:val="none" w:sz="0" w:space="0" w:color="auto"/>
            <w:bottom w:val="none" w:sz="0" w:space="0" w:color="auto"/>
            <w:right w:val="none" w:sz="0" w:space="0" w:color="auto"/>
          </w:divBdr>
        </w:div>
        <w:div w:id="1686438117">
          <w:marLeft w:val="0"/>
          <w:marRight w:val="0"/>
          <w:marTop w:val="0"/>
          <w:marBottom w:val="0"/>
          <w:divBdr>
            <w:top w:val="none" w:sz="0" w:space="0" w:color="auto"/>
            <w:left w:val="none" w:sz="0" w:space="0" w:color="auto"/>
            <w:bottom w:val="none" w:sz="0" w:space="0" w:color="auto"/>
            <w:right w:val="none" w:sz="0" w:space="0" w:color="auto"/>
          </w:divBdr>
        </w:div>
        <w:div w:id="1734113020">
          <w:marLeft w:val="0"/>
          <w:marRight w:val="0"/>
          <w:marTop w:val="0"/>
          <w:marBottom w:val="0"/>
          <w:divBdr>
            <w:top w:val="none" w:sz="0" w:space="0" w:color="auto"/>
            <w:left w:val="none" w:sz="0" w:space="0" w:color="auto"/>
            <w:bottom w:val="none" w:sz="0" w:space="0" w:color="auto"/>
            <w:right w:val="none" w:sz="0" w:space="0" w:color="auto"/>
          </w:divBdr>
        </w:div>
        <w:div w:id="1389453517">
          <w:marLeft w:val="0"/>
          <w:marRight w:val="0"/>
          <w:marTop w:val="0"/>
          <w:marBottom w:val="0"/>
          <w:divBdr>
            <w:top w:val="none" w:sz="0" w:space="0" w:color="auto"/>
            <w:left w:val="none" w:sz="0" w:space="0" w:color="auto"/>
            <w:bottom w:val="none" w:sz="0" w:space="0" w:color="auto"/>
            <w:right w:val="none" w:sz="0" w:space="0" w:color="auto"/>
          </w:divBdr>
        </w:div>
      </w:divsChild>
    </w:div>
    <w:div w:id="1725568050">
      <w:bodyDiv w:val="1"/>
      <w:marLeft w:val="0"/>
      <w:marRight w:val="0"/>
      <w:marTop w:val="0"/>
      <w:marBottom w:val="0"/>
      <w:divBdr>
        <w:top w:val="none" w:sz="0" w:space="0" w:color="auto"/>
        <w:left w:val="none" w:sz="0" w:space="0" w:color="auto"/>
        <w:bottom w:val="none" w:sz="0" w:space="0" w:color="auto"/>
        <w:right w:val="none" w:sz="0" w:space="0" w:color="auto"/>
      </w:divBdr>
      <w:divsChild>
        <w:div w:id="1089959476">
          <w:marLeft w:val="0"/>
          <w:marRight w:val="0"/>
          <w:marTop w:val="0"/>
          <w:marBottom w:val="0"/>
          <w:divBdr>
            <w:top w:val="none" w:sz="0" w:space="0" w:color="auto"/>
            <w:left w:val="none" w:sz="0" w:space="0" w:color="auto"/>
            <w:bottom w:val="none" w:sz="0" w:space="0" w:color="auto"/>
            <w:right w:val="none" w:sz="0" w:space="0" w:color="auto"/>
          </w:divBdr>
        </w:div>
        <w:div w:id="1248659772">
          <w:marLeft w:val="0"/>
          <w:marRight w:val="0"/>
          <w:marTop w:val="0"/>
          <w:marBottom w:val="0"/>
          <w:divBdr>
            <w:top w:val="none" w:sz="0" w:space="0" w:color="auto"/>
            <w:left w:val="none" w:sz="0" w:space="0" w:color="auto"/>
            <w:bottom w:val="none" w:sz="0" w:space="0" w:color="auto"/>
            <w:right w:val="none" w:sz="0" w:space="0" w:color="auto"/>
          </w:divBdr>
        </w:div>
        <w:div w:id="1014844143">
          <w:marLeft w:val="0"/>
          <w:marRight w:val="0"/>
          <w:marTop w:val="0"/>
          <w:marBottom w:val="0"/>
          <w:divBdr>
            <w:top w:val="none" w:sz="0" w:space="0" w:color="auto"/>
            <w:left w:val="none" w:sz="0" w:space="0" w:color="auto"/>
            <w:bottom w:val="none" w:sz="0" w:space="0" w:color="auto"/>
            <w:right w:val="none" w:sz="0" w:space="0" w:color="auto"/>
          </w:divBdr>
        </w:div>
        <w:div w:id="1574780913">
          <w:marLeft w:val="0"/>
          <w:marRight w:val="0"/>
          <w:marTop w:val="0"/>
          <w:marBottom w:val="0"/>
          <w:divBdr>
            <w:top w:val="none" w:sz="0" w:space="0" w:color="auto"/>
            <w:left w:val="none" w:sz="0" w:space="0" w:color="auto"/>
            <w:bottom w:val="none" w:sz="0" w:space="0" w:color="auto"/>
            <w:right w:val="none" w:sz="0" w:space="0" w:color="auto"/>
          </w:divBdr>
        </w:div>
        <w:div w:id="281157926">
          <w:marLeft w:val="0"/>
          <w:marRight w:val="0"/>
          <w:marTop w:val="0"/>
          <w:marBottom w:val="0"/>
          <w:divBdr>
            <w:top w:val="none" w:sz="0" w:space="0" w:color="auto"/>
            <w:left w:val="none" w:sz="0" w:space="0" w:color="auto"/>
            <w:bottom w:val="none" w:sz="0" w:space="0" w:color="auto"/>
            <w:right w:val="none" w:sz="0" w:space="0" w:color="auto"/>
          </w:divBdr>
        </w:div>
        <w:div w:id="916138036">
          <w:marLeft w:val="0"/>
          <w:marRight w:val="0"/>
          <w:marTop w:val="0"/>
          <w:marBottom w:val="0"/>
          <w:divBdr>
            <w:top w:val="none" w:sz="0" w:space="0" w:color="auto"/>
            <w:left w:val="none" w:sz="0" w:space="0" w:color="auto"/>
            <w:bottom w:val="none" w:sz="0" w:space="0" w:color="auto"/>
            <w:right w:val="none" w:sz="0" w:space="0" w:color="auto"/>
          </w:divBdr>
        </w:div>
      </w:divsChild>
    </w:div>
    <w:div w:id="1778518754">
      <w:bodyDiv w:val="1"/>
      <w:marLeft w:val="0"/>
      <w:marRight w:val="0"/>
      <w:marTop w:val="0"/>
      <w:marBottom w:val="0"/>
      <w:divBdr>
        <w:top w:val="none" w:sz="0" w:space="0" w:color="auto"/>
        <w:left w:val="none" w:sz="0" w:space="0" w:color="auto"/>
        <w:bottom w:val="none" w:sz="0" w:space="0" w:color="auto"/>
        <w:right w:val="none" w:sz="0" w:space="0" w:color="auto"/>
      </w:divBdr>
    </w:div>
    <w:div w:id="1844078181">
      <w:bodyDiv w:val="1"/>
      <w:marLeft w:val="0"/>
      <w:marRight w:val="0"/>
      <w:marTop w:val="0"/>
      <w:marBottom w:val="0"/>
      <w:divBdr>
        <w:top w:val="none" w:sz="0" w:space="0" w:color="auto"/>
        <w:left w:val="none" w:sz="0" w:space="0" w:color="auto"/>
        <w:bottom w:val="none" w:sz="0" w:space="0" w:color="auto"/>
        <w:right w:val="none" w:sz="0" w:space="0" w:color="auto"/>
      </w:divBdr>
      <w:divsChild>
        <w:div w:id="2081171259">
          <w:marLeft w:val="0"/>
          <w:marRight w:val="0"/>
          <w:marTop w:val="0"/>
          <w:marBottom w:val="0"/>
          <w:divBdr>
            <w:top w:val="none" w:sz="0" w:space="0" w:color="auto"/>
            <w:left w:val="none" w:sz="0" w:space="0" w:color="auto"/>
            <w:bottom w:val="none" w:sz="0" w:space="0" w:color="auto"/>
            <w:right w:val="none" w:sz="0" w:space="0" w:color="auto"/>
          </w:divBdr>
        </w:div>
        <w:div w:id="195583625">
          <w:marLeft w:val="0"/>
          <w:marRight w:val="0"/>
          <w:marTop w:val="0"/>
          <w:marBottom w:val="0"/>
          <w:divBdr>
            <w:top w:val="none" w:sz="0" w:space="0" w:color="auto"/>
            <w:left w:val="none" w:sz="0" w:space="0" w:color="auto"/>
            <w:bottom w:val="none" w:sz="0" w:space="0" w:color="auto"/>
            <w:right w:val="none" w:sz="0" w:space="0" w:color="auto"/>
          </w:divBdr>
        </w:div>
        <w:div w:id="1061051750">
          <w:marLeft w:val="0"/>
          <w:marRight w:val="0"/>
          <w:marTop w:val="0"/>
          <w:marBottom w:val="0"/>
          <w:divBdr>
            <w:top w:val="none" w:sz="0" w:space="0" w:color="auto"/>
            <w:left w:val="none" w:sz="0" w:space="0" w:color="auto"/>
            <w:bottom w:val="none" w:sz="0" w:space="0" w:color="auto"/>
            <w:right w:val="none" w:sz="0" w:space="0" w:color="auto"/>
          </w:divBdr>
        </w:div>
        <w:div w:id="960380291">
          <w:marLeft w:val="0"/>
          <w:marRight w:val="0"/>
          <w:marTop w:val="0"/>
          <w:marBottom w:val="0"/>
          <w:divBdr>
            <w:top w:val="none" w:sz="0" w:space="0" w:color="auto"/>
            <w:left w:val="none" w:sz="0" w:space="0" w:color="auto"/>
            <w:bottom w:val="none" w:sz="0" w:space="0" w:color="auto"/>
            <w:right w:val="none" w:sz="0" w:space="0" w:color="auto"/>
          </w:divBdr>
        </w:div>
        <w:div w:id="1462991520">
          <w:marLeft w:val="0"/>
          <w:marRight w:val="0"/>
          <w:marTop w:val="0"/>
          <w:marBottom w:val="0"/>
          <w:divBdr>
            <w:top w:val="none" w:sz="0" w:space="0" w:color="auto"/>
            <w:left w:val="none" w:sz="0" w:space="0" w:color="auto"/>
            <w:bottom w:val="none" w:sz="0" w:space="0" w:color="auto"/>
            <w:right w:val="none" w:sz="0" w:space="0" w:color="auto"/>
          </w:divBdr>
        </w:div>
      </w:divsChild>
    </w:div>
    <w:div w:id="19392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hrsa.gov/sites/default/files/publichealth/guidelines/BehavioralHealth/behavioralhealthcareaccess.pdf" TargetMode="External"/><Relationship Id="rId2" Type="http://schemas.openxmlformats.org/officeDocument/2006/relationships/hyperlink" Target="https://oig.hhs.gov/oei/reports/oei-02-17-00250.pdf" TargetMode="External"/><Relationship Id="rId1" Type="http://schemas.openxmlformats.org/officeDocument/2006/relationships/hyperlink" Target="https://www.samhsa.gov/capt/sites/default/files/resources/resources-opiod-use-older-adult-po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C07F6-52CB-40EB-B002-1A963CEC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Drobac</dc:creator>
  <cp:keywords/>
  <dc:description/>
  <cp:lastModifiedBy>Sheridan, Mary</cp:lastModifiedBy>
  <cp:revision>2</cp:revision>
  <dcterms:created xsi:type="dcterms:W3CDTF">2018-06-08T18:19:00Z</dcterms:created>
  <dcterms:modified xsi:type="dcterms:W3CDTF">2018-06-08T18:19:00Z</dcterms:modified>
</cp:coreProperties>
</file>